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2518" w14:textId="77777777" w:rsidR="003E1164" w:rsidRDefault="003E1164" w:rsidP="003E116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</w:pPr>
    </w:p>
    <w:p w14:paraId="42BC5B68" w14:textId="77777777" w:rsidR="003E1164" w:rsidRDefault="003E1164" w:rsidP="003E116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</w:pPr>
    </w:p>
    <w:p w14:paraId="22FFDBA1" w14:textId="77777777" w:rsidR="003E1164" w:rsidRPr="003E1164" w:rsidRDefault="003E1164" w:rsidP="003E11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OFICIO </w:t>
      </w:r>
      <w:proofErr w:type="spellStart"/>
      <w:r w:rsidRPr="003E1164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Nº</w:t>
      </w:r>
      <w:proofErr w:type="spellEnd"/>
      <w:r w:rsidRPr="003E1164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 0486 [902616]</w:t>
      </w:r>
    </w:p>
    <w:p w14:paraId="4C99837C" w14:textId="77777777" w:rsidR="003E1164" w:rsidRPr="003E1164" w:rsidRDefault="003E1164" w:rsidP="003E11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26-03-2021</w:t>
      </w:r>
    </w:p>
    <w:p w14:paraId="3855F747" w14:textId="77777777" w:rsidR="003E1164" w:rsidRPr="003E1164" w:rsidRDefault="003E1164" w:rsidP="003E11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DIAN</w:t>
      </w:r>
    </w:p>
    <w:p w14:paraId="54FC205B" w14:textId="77777777" w:rsidR="003E1164" w:rsidRPr="003E1164" w:rsidRDefault="003E1164" w:rsidP="003E1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67721A6C" w14:textId="77777777" w:rsidR="003E1164" w:rsidRPr="003E1164" w:rsidRDefault="003E1164" w:rsidP="003E1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1F6C997F" w14:textId="77777777" w:rsidR="003E1164" w:rsidRPr="003E1164" w:rsidRDefault="003E1164" w:rsidP="003E1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Subdirección de Gestión Normativa y Doctrina</w:t>
      </w:r>
    </w:p>
    <w:p w14:paraId="24496512" w14:textId="77777777" w:rsidR="003E1164" w:rsidRPr="003E1164" w:rsidRDefault="003E1164" w:rsidP="003E1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100208221-0486</w:t>
      </w:r>
    </w:p>
    <w:p w14:paraId="2EB72567" w14:textId="77777777" w:rsidR="003E1164" w:rsidRPr="003E1164" w:rsidRDefault="003E1164" w:rsidP="003E1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Bogotá, D.C.</w:t>
      </w:r>
    </w:p>
    <w:p w14:paraId="4322AD4B" w14:textId="77777777" w:rsidR="003E1164" w:rsidRPr="003E1164" w:rsidRDefault="003E1164" w:rsidP="003E1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271"/>
        <w:gridCol w:w="271"/>
        <w:gridCol w:w="4395"/>
      </w:tblGrid>
      <w:tr w:rsidR="003E1164" w:rsidRPr="003E1164" w14:paraId="730E8529" w14:textId="77777777" w:rsidTr="003E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EFE06" w14:textId="77777777" w:rsidR="003E1164" w:rsidRPr="003E1164" w:rsidRDefault="003E1164" w:rsidP="003E11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3E116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3F59B" w14:textId="77777777" w:rsidR="003E1164" w:rsidRPr="003E1164" w:rsidRDefault="003E1164" w:rsidP="003E11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3E116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23BD0" w14:textId="77777777" w:rsidR="003E1164" w:rsidRPr="003E1164" w:rsidRDefault="003E1164" w:rsidP="003E11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3E116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D61D3" w14:textId="77777777" w:rsidR="003E1164" w:rsidRPr="003E1164" w:rsidRDefault="003E1164" w:rsidP="003E11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3E116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Procedimiento tributario</w:t>
            </w:r>
          </w:p>
        </w:tc>
      </w:tr>
      <w:tr w:rsidR="003E1164" w:rsidRPr="003E1164" w14:paraId="228C4034" w14:textId="77777777" w:rsidTr="003E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767DD" w14:textId="77777777" w:rsidR="003E1164" w:rsidRPr="003E1164" w:rsidRDefault="003E1164" w:rsidP="003E11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3E116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Descriptores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84767" w14:textId="77777777" w:rsidR="003E1164" w:rsidRPr="003E1164" w:rsidRDefault="003E1164" w:rsidP="003E11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3E116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80426" w14:textId="77777777" w:rsidR="003E1164" w:rsidRPr="003E1164" w:rsidRDefault="003E1164" w:rsidP="003E11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3E116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3F573" w14:textId="77777777" w:rsidR="003E1164" w:rsidRPr="003E1164" w:rsidRDefault="003E1164" w:rsidP="003E11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3E116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Firmeza de la declaración tributaria</w:t>
            </w:r>
          </w:p>
        </w:tc>
      </w:tr>
      <w:tr w:rsidR="003E1164" w:rsidRPr="003E1164" w14:paraId="619FC382" w14:textId="77777777" w:rsidTr="003E1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7D571" w14:textId="77777777" w:rsidR="003E1164" w:rsidRPr="003E1164" w:rsidRDefault="003E1164" w:rsidP="003E11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3E116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Fuentes formales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445FC" w14:textId="77777777" w:rsidR="003E1164" w:rsidRPr="003E1164" w:rsidRDefault="003E1164" w:rsidP="003E11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3E116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D128" w14:textId="77777777" w:rsidR="003E1164" w:rsidRPr="003E1164" w:rsidRDefault="003E1164" w:rsidP="003E11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3E116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DA1B5" w14:textId="77777777" w:rsidR="003E1164" w:rsidRPr="003E1164" w:rsidRDefault="003E1164" w:rsidP="003E11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hyperlink r:id="rId4" w:tooltip="Estatuto Tributario CETA" w:history="1">
              <w:r w:rsidRPr="003E1164">
                <w:rPr>
                  <w:rFonts w:ascii="Segoe UI" w:eastAsia="Times New Roman" w:hAnsi="Segoe UI" w:cs="Segoe UI"/>
                  <w:color w:val="0089E1"/>
                  <w:sz w:val="20"/>
                  <w:szCs w:val="20"/>
                  <w:u w:val="single"/>
                  <w:lang w:eastAsia="es-CO"/>
                </w:rPr>
                <w:t>Artículo 714</w:t>
              </w:r>
            </w:hyperlink>
            <w:r w:rsidRPr="003E116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del Estatuto Tributario</w:t>
            </w:r>
          </w:p>
          <w:p w14:paraId="16915CBF" w14:textId="77777777" w:rsidR="003E1164" w:rsidRPr="003E1164" w:rsidRDefault="003E1164" w:rsidP="003E116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3E116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Artículos 1.7.1 y 1.7.3 del Decreto 1625 de 2016</w:t>
            </w:r>
          </w:p>
        </w:tc>
      </w:tr>
    </w:tbl>
    <w:p w14:paraId="491C2DF0" w14:textId="77777777" w:rsidR="003E1164" w:rsidRPr="003E1164" w:rsidRDefault="003E1164" w:rsidP="003E1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591B369D" w14:textId="77777777" w:rsidR="003E1164" w:rsidRPr="003E1164" w:rsidRDefault="003E1164" w:rsidP="003E1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040B0A7E" w14:textId="77777777" w:rsidR="003E1164" w:rsidRPr="003E1164" w:rsidRDefault="003E1164" w:rsidP="003E1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Cordial saludo.</w:t>
      </w:r>
    </w:p>
    <w:p w14:paraId="369E3501" w14:textId="77777777" w:rsidR="003E1164" w:rsidRPr="003E1164" w:rsidRDefault="003E1164" w:rsidP="003E1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6E6427CD" w14:textId="77777777" w:rsidR="003E1164" w:rsidRPr="003E1164" w:rsidRDefault="003E1164" w:rsidP="003E1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De conformidad con el artículo 20 del Decreto 4048 de 2008, este Despacho está facultado para absolver las consultas escritas que se formulen sobre la interpretación y aplicación de las normas tributarias, aduaneras y cambiarias, en el marco de las competencias de la Dirección de Impuestos y Aduanas Nacionales. Por consiguiente, no corresponde a este Despacho, en ejercicio de las funciones descritas anteriormente, prestar asesoría específica para atender casos particulares, ni juzgar o calificar las decisiones tomadas por otras dependencias o entidades.</w:t>
      </w:r>
    </w:p>
    <w:p w14:paraId="1357C568" w14:textId="77777777" w:rsidR="003E1164" w:rsidRPr="003E1164" w:rsidRDefault="003E1164" w:rsidP="003E1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293CE9D8" w14:textId="77777777" w:rsidR="003E1164" w:rsidRPr="003E1164" w:rsidRDefault="003E1164" w:rsidP="003E1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Mediante el radicado de la referencia, el peticionario consulta:</w:t>
      </w:r>
    </w:p>
    <w:p w14:paraId="20E3CCC0" w14:textId="77777777" w:rsidR="003E1164" w:rsidRPr="003E1164" w:rsidRDefault="003E1164" w:rsidP="003E1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14:paraId="5E32ADF3" w14:textId="77777777" w:rsidR="003E1164" w:rsidRPr="003E1164" w:rsidRDefault="003E1164" w:rsidP="003E1164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 xml:space="preserve">“¿Cuándo (sic) el contribuyente del impuesto a (sic) renta accede al beneficio de </w:t>
      </w:r>
      <w:proofErr w:type="gramStart"/>
      <w:r w:rsidRPr="003E1164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auditoria contenido</w:t>
      </w:r>
      <w:proofErr w:type="gramEnd"/>
      <w:r w:rsidRPr="003E1164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 xml:space="preserve"> en el </w:t>
      </w:r>
      <w:hyperlink r:id="rId5" w:tooltip="Estatuto Tributario CETA" w:history="1">
        <w:r w:rsidRPr="003E1164">
          <w:rPr>
            <w:rFonts w:ascii="Segoe UI" w:eastAsia="Times New Roman" w:hAnsi="Segoe UI" w:cs="Segoe UI"/>
            <w:i/>
            <w:iCs/>
            <w:color w:val="0089E1"/>
            <w:sz w:val="18"/>
            <w:szCs w:val="18"/>
            <w:u w:val="single"/>
            <w:lang w:eastAsia="es-CO"/>
          </w:rPr>
          <w:t>artículo 689-2</w:t>
        </w:r>
      </w:hyperlink>
      <w:r w:rsidRPr="003E1164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del E.T., el termino (sic) de firmeza de la declaración de renta será también aplicable al formato 2516 de conciliación fiscal?”</w:t>
      </w:r>
    </w:p>
    <w:p w14:paraId="59483910" w14:textId="77777777" w:rsidR="003E1164" w:rsidRPr="003E1164" w:rsidRDefault="003E1164" w:rsidP="003E1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42C20955" w14:textId="77777777" w:rsidR="003E1164" w:rsidRPr="003E1164" w:rsidRDefault="003E1164" w:rsidP="003E1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Sobre el particular, las consideraciones de este Despacho son las siguientes:</w:t>
      </w:r>
    </w:p>
    <w:p w14:paraId="28ECD8A6" w14:textId="77777777" w:rsidR="003E1164" w:rsidRPr="003E1164" w:rsidRDefault="003E1164" w:rsidP="003E1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214018D2" w14:textId="77777777" w:rsidR="003E1164" w:rsidRPr="003E1164" w:rsidRDefault="003E1164" w:rsidP="003E1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El artículo 1.7.1 del Decreto 1625 de 2016 establece que la conciliación fiscal está compuesta por el control de detalle y el reporte de conciliación fiscal (Formato 2516). Este último </w:t>
      </w:r>
      <w:r w:rsidRPr="003E1164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“constituye un anexo de la declaración del impuesto sobre la renta y complementario y </w:t>
      </w:r>
      <w:r w:rsidRPr="003E1164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hará parte integral de la misma</w:t>
      </w:r>
      <w:r w:rsidRPr="003E1164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” </w:t>
      </w:r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(subrayado fuera del texto original).</w:t>
      </w:r>
    </w:p>
    <w:p w14:paraId="3304F2D4" w14:textId="77777777" w:rsidR="003E1164" w:rsidRPr="003E1164" w:rsidRDefault="003E1164" w:rsidP="003E1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5FE46DE1" w14:textId="77777777" w:rsidR="003E1164" w:rsidRPr="003E1164" w:rsidRDefault="003E1164" w:rsidP="003E1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 su vez, el artículo 1.7.3 </w:t>
      </w:r>
      <w:proofErr w:type="spellStart"/>
      <w:r w:rsidRPr="003E1164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ibídem</w:t>
      </w:r>
      <w:proofErr w:type="spellEnd"/>
      <w:r w:rsidRPr="003E1164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señala que la conciliación fiscal </w:t>
      </w:r>
      <w:r w:rsidRPr="003E1164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</w:t>
      </w:r>
      <w:r w:rsidRPr="003E1164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deberá conservarse por el término de firmeza de la declaración de renta y complementario del año gravable al cual corresponda</w:t>
      </w:r>
      <w:r w:rsidRPr="003E1164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, de conformidad con el </w:t>
      </w:r>
      <w:hyperlink r:id="rId6" w:tooltip="Estatuto Tributario CETA" w:history="1">
        <w:r w:rsidRPr="003E1164">
          <w:rPr>
            <w:rFonts w:ascii="Segoe UI" w:eastAsia="Times New Roman" w:hAnsi="Segoe UI" w:cs="Segoe UI"/>
            <w:i/>
            <w:iCs/>
            <w:color w:val="0089E1"/>
            <w:sz w:val="18"/>
            <w:szCs w:val="18"/>
            <w:u w:val="single"/>
            <w:lang w:eastAsia="es-CO"/>
          </w:rPr>
          <w:t>artículo 632</w:t>
        </w:r>
      </w:hyperlink>
      <w:r w:rsidRPr="003E1164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del Estatuto Tributario, modificado por el artículo 46 de la Ley 962 de 2005 y el artículo 304 de la Ley 1819 de 2016, y ponerse a disposición de la Administración Tributaria, cuando esta así lo requiera” </w:t>
      </w:r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(subrayado fuera del texto original).</w:t>
      </w:r>
    </w:p>
    <w:p w14:paraId="595839C9" w14:textId="77777777" w:rsidR="003E1164" w:rsidRPr="003E1164" w:rsidRDefault="003E1164" w:rsidP="003E1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28ADC730" w14:textId="77777777" w:rsidR="003E1164" w:rsidRPr="003E1164" w:rsidRDefault="003E1164" w:rsidP="003E1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Ahora bien, del </w:t>
      </w:r>
      <w:hyperlink r:id="rId7" w:tooltip="Estatuto Tributario CETA" w:history="1">
        <w:r w:rsidRPr="003E1164">
          <w:rPr>
            <w:rFonts w:ascii="Segoe UI" w:eastAsia="Times New Roman" w:hAnsi="Segoe UI" w:cs="Segoe UI"/>
            <w:color w:val="0089E1"/>
            <w:sz w:val="18"/>
            <w:szCs w:val="18"/>
            <w:u w:val="single"/>
            <w:lang w:eastAsia="es-CO"/>
          </w:rPr>
          <w:t>artículo 714</w:t>
        </w:r>
      </w:hyperlink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del Estatuto Tributario se desprende que el término de firmeza se predica de las declaraciones tributarias.</w:t>
      </w:r>
    </w:p>
    <w:p w14:paraId="2DBF36E2" w14:textId="77777777" w:rsidR="003E1164" w:rsidRPr="003E1164" w:rsidRDefault="003E1164" w:rsidP="003E1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1BA949A8" w14:textId="77777777" w:rsidR="003E1164" w:rsidRPr="003E1164" w:rsidRDefault="003E1164" w:rsidP="003E1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Por lo tanto, al hacer parte integral de la declaración del impuesto sobre la renta y complementarios, el reporte de conciliación fiscal estará sujeto al término de firmeza de </w:t>
      </w:r>
      <w:proofErr w:type="gramStart"/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la misma</w:t>
      </w:r>
      <w:proofErr w:type="gramEnd"/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 (atendiendo la máxima </w:t>
      </w:r>
      <w:proofErr w:type="spellStart"/>
      <w:r w:rsidRPr="003E1164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accesorium</w:t>
      </w:r>
      <w:proofErr w:type="spellEnd"/>
      <w:r w:rsidRPr="003E1164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 xml:space="preserve"> </w:t>
      </w:r>
      <w:proofErr w:type="spellStart"/>
      <w:r w:rsidRPr="003E1164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sequitur</w:t>
      </w:r>
      <w:proofErr w:type="spellEnd"/>
      <w:r w:rsidRPr="003E1164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 xml:space="preserve"> </w:t>
      </w:r>
      <w:proofErr w:type="spellStart"/>
      <w:r w:rsidRPr="003E1164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principale</w:t>
      </w:r>
      <w:proofErr w:type="spellEnd"/>
      <w:r w:rsidRPr="003E1164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 xml:space="preserve"> – </w:t>
      </w:r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lo accesorio sigue la suerte de lo principal), el cual, adicionalmente coincide con el término de conservación de la conciliación fiscal.</w:t>
      </w:r>
    </w:p>
    <w:p w14:paraId="487B656F" w14:textId="77777777" w:rsidR="003E1164" w:rsidRPr="003E1164" w:rsidRDefault="003E1164" w:rsidP="003E1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3FAE6348" w14:textId="77777777" w:rsidR="003E1164" w:rsidRDefault="003E1164" w:rsidP="003E116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</w:pPr>
    </w:p>
    <w:p w14:paraId="3F167051" w14:textId="4E7D8043" w:rsidR="003E1164" w:rsidRPr="003E1164" w:rsidRDefault="003E1164" w:rsidP="003E1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Atentamente,</w:t>
      </w:r>
    </w:p>
    <w:p w14:paraId="5ADF96C9" w14:textId="77777777" w:rsidR="003E1164" w:rsidRPr="003E1164" w:rsidRDefault="003E1164" w:rsidP="003E1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p w14:paraId="4EA8822C" w14:textId="77777777" w:rsidR="003E1164" w:rsidRPr="003E1164" w:rsidRDefault="003E1164" w:rsidP="003E1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p w14:paraId="3196B411" w14:textId="77777777" w:rsidR="003E1164" w:rsidRPr="003E1164" w:rsidRDefault="003E1164" w:rsidP="003E1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PABLO EMILIO MENDOZA VELILLA</w:t>
      </w:r>
    </w:p>
    <w:p w14:paraId="7D86C118" w14:textId="77777777" w:rsidR="003E1164" w:rsidRPr="003E1164" w:rsidRDefault="003E1164" w:rsidP="003E1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Subdirector de Gestión Normativa y Doctrina</w:t>
      </w:r>
    </w:p>
    <w:p w14:paraId="35AABC84" w14:textId="77777777" w:rsidR="003E1164" w:rsidRPr="003E1164" w:rsidRDefault="003E1164" w:rsidP="003E1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Dirección de Gestión Jurídica</w:t>
      </w:r>
    </w:p>
    <w:p w14:paraId="720EE519" w14:textId="77777777" w:rsidR="003E1164" w:rsidRPr="003E1164" w:rsidRDefault="003E1164" w:rsidP="003E11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3E116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UAE-DIAN</w:t>
      </w:r>
    </w:p>
    <w:p w14:paraId="757E413C" w14:textId="77777777" w:rsidR="007F5CC8" w:rsidRDefault="007F5CC8"/>
    <w:sectPr w:rsidR="007F5CC8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64"/>
    <w:rsid w:val="000F3837"/>
    <w:rsid w:val="001E311E"/>
    <w:rsid w:val="003E1164"/>
    <w:rsid w:val="00434AE6"/>
    <w:rsid w:val="007F5CC8"/>
    <w:rsid w:val="008779BE"/>
    <w:rsid w:val="00E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5074"/>
  <w15:chartTrackingRefBased/>
  <w15:docId w15:val="{E781137F-4224-4592-ADA1-9690DC4B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ta.org.co/html/vista_de_un_articulo.asp?Norma=8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ta.org.co/html/vista_de_un_articulo.asp?Norma=785" TargetMode="External"/><Relationship Id="rId5" Type="http://schemas.openxmlformats.org/officeDocument/2006/relationships/hyperlink" Target="https://www.ceta.org.co/html/vista_de_un_articulo.asp?Norma=60485" TargetMode="External"/><Relationship Id="rId4" Type="http://schemas.openxmlformats.org/officeDocument/2006/relationships/hyperlink" Target="https://www.ceta.org.co/html/vista_de_un_articulo.asp?Norma=8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Alzate Duque</dc:creator>
  <cp:keywords/>
  <dc:description/>
  <cp:lastModifiedBy>Guillermo Alzate Duque</cp:lastModifiedBy>
  <cp:revision>1</cp:revision>
  <dcterms:created xsi:type="dcterms:W3CDTF">2021-05-11T16:47:00Z</dcterms:created>
  <dcterms:modified xsi:type="dcterms:W3CDTF">2021-05-11T16:50:00Z</dcterms:modified>
</cp:coreProperties>
</file>